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043294"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68E74CCE" w:rsidR="006D3771" w:rsidRPr="008B6B20" w:rsidRDefault="00AC0489" w:rsidP="006D3771">
            <w:pPr>
              <w:jc w:val="center"/>
              <w:rPr>
                <w:sz w:val="32"/>
                <w:szCs w:val="32"/>
                <w:lang w:val="en-GB"/>
              </w:rPr>
            </w:pPr>
            <w:r>
              <w:rPr>
                <w:sz w:val="32"/>
                <w:szCs w:val="32"/>
                <w:lang w:val="en-GB"/>
              </w:rPr>
              <w:t>Albania</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4FDFA2C3" w14:textId="77777777" w:rsidR="00161282" w:rsidRPr="00161282" w:rsidRDefault="00161282" w:rsidP="00161282">
      <w:pPr>
        <w:keepNext/>
        <w:spacing w:before="320"/>
        <w:outlineLvl w:val="0"/>
        <w:rPr>
          <w:rFonts w:ascii="Calibri Light" w:eastAsia="Times New Roman" w:hAnsi="Calibri Light" w:cs="Calibri Light"/>
          <w:color w:val="2F5496"/>
          <w:kern w:val="36"/>
          <w:sz w:val="32"/>
          <w:szCs w:val="32"/>
          <w:lang w:val="en-US"/>
        </w:rPr>
      </w:pPr>
      <w:r w:rsidRPr="00161282">
        <w:rPr>
          <w:rFonts w:ascii="Calibri Light" w:eastAsia="Times New Roman" w:hAnsi="Calibri Light" w:cs="Calibri Light"/>
          <w:color w:val="2F5496"/>
          <w:kern w:val="36"/>
          <w:sz w:val="32"/>
          <w:szCs w:val="32"/>
          <w:lang w:val="en-US"/>
        </w:rPr>
        <w:t xml:space="preserve">I Justice System </w:t>
      </w:r>
    </w:p>
    <w:p w14:paraId="517401A8" w14:textId="77777777" w:rsidR="00161282" w:rsidRPr="00161282" w:rsidRDefault="00161282" w:rsidP="00161282">
      <w:pPr>
        <w:autoSpaceDE w:val="0"/>
        <w:autoSpaceDN w:val="0"/>
        <w:jc w:val="both"/>
        <w:rPr>
          <w:rFonts w:ascii="Calibri" w:eastAsiaTheme="minorHAnsi" w:hAnsi="Calibri" w:cs="Calibri"/>
          <w:color w:val="000000"/>
          <w:sz w:val="22"/>
          <w:szCs w:val="22"/>
          <w:lang w:val="en-US"/>
          <w14:ligatures w14:val="standardContextual"/>
        </w:rPr>
      </w:pPr>
    </w:p>
    <w:p w14:paraId="6A707CAB" w14:textId="77777777" w:rsidR="00161282" w:rsidRPr="00161282" w:rsidRDefault="00161282" w:rsidP="00161282">
      <w:pPr>
        <w:autoSpaceDE w:val="0"/>
        <w:autoSpaceDN w:val="0"/>
        <w:jc w:val="both"/>
        <w:rPr>
          <w:rFonts w:ascii="Calibri" w:eastAsiaTheme="minorHAnsi" w:hAnsi="Calibri" w:cs="Calibri"/>
          <w:color w:val="000000"/>
          <w:sz w:val="22"/>
          <w:szCs w:val="22"/>
          <w:lang w:val="en-US"/>
          <w14:ligatures w14:val="standardContextual"/>
        </w:rPr>
      </w:pPr>
      <w:r w:rsidRPr="00161282">
        <w:rPr>
          <w:rFonts w:ascii="Calibri" w:eastAsiaTheme="minorHAnsi" w:hAnsi="Calibri" w:cs="Calibri"/>
          <w:color w:val="000000"/>
          <w:sz w:val="22"/>
          <w:szCs w:val="22"/>
          <w:lang w:val="en-US"/>
          <w14:ligatures w14:val="standardContextual"/>
        </w:rPr>
        <w:t xml:space="preserve">The European Commission for the Efficiency of Justice (CEPEJ) regularly collects data on judicial systems concerning efficiency and quality of the justice system. </w:t>
      </w:r>
    </w:p>
    <w:p w14:paraId="786BA8E0" w14:textId="77777777" w:rsidR="00161282" w:rsidRPr="00161282" w:rsidRDefault="00161282" w:rsidP="00161282">
      <w:pPr>
        <w:shd w:val="clear" w:color="auto" w:fill="FFFFFF"/>
        <w:spacing w:before="100" w:beforeAutospacing="1" w:after="100" w:afterAutospacing="1"/>
        <w:rPr>
          <w:rFonts w:ascii="Calibri" w:eastAsiaTheme="minorHAnsi" w:hAnsi="Calibri" w:cs="Calibri"/>
          <w:sz w:val="22"/>
          <w:szCs w:val="22"/>
          <w:lang w:val="en-GB"/>
          <w14:ligatures w14:val="standardContextual"/>
        </w:rPr>
      </w:pPr>
      <w:r w:rsidRPr="00161282">
        <w:rPr>
          <w:rFonts w:ascii="Calibri" w:eastAsiaTheme="minorHAnsi" w:hAnsi="Calibri" w:cs="Calibri"/>
          <w:color w:val="000000"/>
          <w:sz w:val="22"/>
          <w:szCs w:val="22"/>
          <w:lang w:val="en-US"/>
          <w14:ligatures w14:val="standardContextual"/>
        </w:rPr>
        <w:t xml:space="preserve">In 2024, 2022 data have been collected, quality checked and the CEPEJ </w:t>
      </w:r>
      <w:r w:rsidRPr="00161282">
        <w:rPr>
          <w:rFonts w:ascii="Calibri" w:eastAsiaTheme="minorHAnsi" w:hAnsi="Calibri" w:cs="Calibri"/>
          <w:color w:val="000000"/>
          <w:sz w:val="22"/>
          <w:szCs w:val="22"/>
          <w:lang w:val="en-GB"/>
          <w14:ligatures w14:val="standardContextual"/>
        </w:rPr>
        <w:t>European Judicial Systems Evaluation Report (</w:t>
      </w:r>
      <w:hyperlink r:id="rId9" w:history="1">
        <w:r w:rsidRPr="00161282">
          <w:rPr>
            <w:rFonts w:ascii="Calibri" w:eastAsiaTheme="minorHAnsi" w:hAnsi="Calibri" w:cs="Calibri"/>
            <w:color w:val="0563C1"/>
            <w:sz w:val="22"/>
            <w:szCs w:val="22"/>
            <w:u w:val="single"/>
            <w:lang w:val="en-GB"/>
            <w14:ligatures w14:val="standardContextual"/>
          </w:rPr>
          <w:t>General analyses</w:t>
        </w:r>
      </w:hyperlink>
      <w:r w:rsidRPr="00161282">
        <w:rPr>
          <w:rFonts w:ascii="Calibri" w:eastAsiaTheme="minorHAnsi" w:hAnsi="Calibri" w:cs="Calibri"/>
          <w:color w:val="000000"/>
          <w:sz w:val="22"/>
          <w:szCs w:val="22"/>
          <w:lang w:val="en-GB"/>
          <w14:ligatures w14:val="standardContextual"/>
        </w:rPr>
        <w:t xml:space="preserve"> and  </w:t>
      </w:r>
      <w:hyperlink r:id="rId10" w:history="1">
        <w:r w:rsidRPr="00161282">
          <w:rPr>
            <w:rFonts w:ascii="Calibri" w:eastAsiaTheme="minorHAnsi" w:hAnsi="Calibri" w:cs="Calibri"/>
            <w:color w:val="0563C1"/>
            <w:sz w:val="22"/>
            <w:szCs w:val="22"/>
            <w:u w:val="single"/>
            <w:lang w:val="en-GB"/>
            <w14:ligatures w14:val="standardContextual"/>
          </w:rPr>
          <w:t>CEPEJ-STAT database</w:t>
        </w:r>
      </w:hyperlink>
      <w:r w:rsidRPr="00161282">
        <w:rPr>
          <w:rFonts w:ascii="Calibri" w:eastAsiaTheme="minorHAnsi" w:hAnsi="Calibri" w:cs="Calibri"/>
          <w:color w:val="000000"/>
          <w:sz w:val="22"/>
          <w:szCs w:val="22"/>
          <w:lang w:val="en-GB"/>
          <w14:ligatures w14:val="standardContextual"/>
        </w:rPr>
        <w:t xml:space="preserve">) was </w:t>
      </w:r>
      <w:r w:rsidRPr="00161282">
        <w:rPr>
          <w:rFonts w:ascii="Calibri" w:eastAsiaTheme="minorHAnsi" w:hAnsi="Calibri" w:cs="Calibri"/>
          <w:color w:val="000000"/>
          <w:sz w:val="22"/>
          <w:szCs w:val="22"/>
          <w:lang w:val="en-US"/>
          <w14:ligatures w14:val="standardContextual"/>
        </w:rPr>
        <w:t xml:space="preserve">published. </w:t>
      </w:r>
      <w:r w:rsidRPr="00161282">
        <w:rPr>
          <w:rFonts w:ascii="Calibri" w:eastAsiaTheme="minorHAnsi" w:hAnsi="Calibri" w:cs="Calibri"/>
          <w:color w:val="000000"/>
          <w:sz w:val="22"/>
          <w:szCs w:val="22"/>
          <w:lang w:val="en-GB"/>
          <w14:ligatures w14:val="standardContextual"/>
        </w:rPr>
        <w:t xml:space="preserve">This report also includes </w:t>
      </w:r>
      <w:r w:rsidRPr="00161282">
        <w:rPr>
          <w:rFonts w:ascii="Calibri" w:eastAsiaTheme="minorHAnsi" w:hAnsi="Calibri" w:cs="Calibri"/>
          <w:color w:val="000000"/>
          <w:sz w:val="22"/>
          <w:szCs w:val="22"/>
          <w:lang w:val="en-US"/>
          <w14:ligatures w14:val="standardContextual"/>
        </w:rPr>
        <w:t xml:space="preserve">country profiles for each Council of Europe Member State, based on 2022 data. </w:t>
      </w:r>
    </w:p>
    <w:p w14:paraId="553A83C6" w14:textId="160BF30F" w:rsidR="00161282" w:rsidRPr="00161282" w:rsidRDefault="00000000" w:rsidP="00161282">
      <w:pPr>
        <w:rPr>
          <w:rFonts w:ascii="Calibri" w:eastAsiaTheme="minorHAnsi" w:hAnsi="Calibri" w:cs="Calibri"/>
          <w:sz w:val="22"/>
          <w:szCs w:val="22"/>
          <w:lang w:val="en-US"/>
          <w14:ligatures w14:val="standardContextual"/>
        </w:rPr>
      </w:pPr>
      <w:hyperlink r:id="rId11" w:history="1">
        <w:r w:rsidR="00161282" w:rsidRPr="00161282">
          <w:rPr>
            <w:rStyle w:val="Hyperlink"/>
            <w:rFonts w:ascii="Calibri" w:eastAsiaTheme="minorHAnsi" w:hAnsi="Calibri" w:cs="Calibri"/>
            <w:sz w:val="22"/>
            <w:szCs w:val="22"/>
            <w:lang w:val="en-US"/>
            <w14:ligatures w14:val="standardContextual"/>
          </w:rPr>
          <w:t>CEPEJ Evaluation Report - Country Profiles – Albania</w:t>
        </w:r>
      </w:hyperlink>
      <w:r w:rsidR="00161282" w:rsidRPr="00161282">
        <w:rPr>
          <w:rFonts w:ascii="Calibri" w:eastAsiaTheme="minorHAnsi" w:hAnsi="Calibri" w:cs="Calibri"/>
          <w:sz w:val="22"/>
          <w:szCs w:val="22"/>
          <w:lang w:val="en-US"/>
          <w14:ligatures w14:val="standardContextual"/>
        </w:rPr>
        <w:t xml:space="preserve"> </w:t>
      </w:r>
    </w:p>
    <w:p w14:paraId="239B07E5" w14:textId="77777777" w:rsidR="00161282" w:rsidRPr="00161282" w:rsidRDefault="00161282" w:rsidP="00161282">
      <w:pPr>
        <w:shd w:val="clear" w:color="auto" w:fill="FFFFFF"/>
        <w:spacing w:before="100" w:beforeAutospacing="1" w:after="100" w:afterAutospacing="1"/>
        <w:rPr>
          <w:rFonts w:ascii="Calibri" w:eastAsiaTheme="minorHAnsi" w:hAnsi="Calibri" w:cs="Calibri"/>
          <w:sz w:val="22"/>
          <w:szCs w:val="22"/>
          <w:lang w:val="en-GB"/>
          <w14:ligatures w14:val="standardContextual"/>
        </w:rPr>
      </w:pPr>
      <w:r w:rsidRPr="00161282">
        <w:rPr>
          <w:rFonts w:ascii="Calibri" w:eastAsiaTheme="minorHAnsi" w:hAnsi="Calibri" w:cs="Calibri"/>
          <w:color w:val="000000"/>
          <w:sz w:val="22"/>
          <w:szCs w:val="22"/>
          <w:lang w:val="en-GB"/>
          <w14:ligatures w14:val="standardContextual"/>
        </w:rPr>
        <w:t xml:space="preserve">In addition, CEPEJ prepares Country profiles in the framework of the Dashboard Western Balkans project. </w:t>
      </w:r>
    </w:p>
    <w:p w14:paraId="0D8AB07D" w14:textId="764C5F9C" w:rsidR="00161282" w:rsidRDefault="00000000" w:rsidP="00161282">
      <w:pPr>
        <w:shd w:val="clear" w:color="auto" w:fill="FFFFFF"/>
        <w:spacing w:before="100" w:beforeAutospacing="1" w:after="100" w:afterAutospacing="1"/>
        <w:rPr>
          <w:rStyle w:val="Hyperlink"/>
          <w:rFonts w:ascii="Calibri" w:eastAsiaTheme="minorHAnsi" w:hAnsi="Calibri" w:cs="Calibri"/>
          <w:sz w:val="22"/>
          <w:szCs w:val="22"/>
          <w:lang w:val="en-US"/>
          <w14:ligatures w14:val="standardContextual"/>
        </w:rPr>
      </w:pPr>
      <w:hyperlink r:id="rId12" w:history="1">
        <w:r w:rsidR="000803F4" w:rsidRPr="000803F4">
          <w:rPr>
            <w:rStyle w:val="Hyperlink"/>
            <w:rFonts w:ascii="Calibri" w:eastAsiaTheme="minorHAnsi" w:hAnsi="Calibri" w:cs="Calibri"/>
            <w:sz w:val="22"/>
            <w:szCs w:val="22"/>
            <w:lang w:val="en-US"/>
            <w14:ligatures w14:val="standardContextual"/>
          </w:rPr>
          <w:t>Country profile – Dashboard western Balkans - Albania (2023 data)</w:t>
        </w:r>
      </w:hyperlink>
    </w:p>
    <w:p w14:paraId="07DB836A" w14:textId="3A65BC74" w:rsidR="00A159F1" w:rsidRPr="00043294" w:rsidRDefault="00A159F1" w:rsidP="00161282">
      <w:pPr>
        <w:shd w:val="clear" w:color="auto" w:fill="FFFFFF"/>
        <w:spacing w:before="100" w:beforeAutospacing="1" w:after="100" w:afterAutospacing="1"/>
        <w:rPr>
          <w:rStyle w:val="Hyperlink"/>
          <w:color w:val="auto"/>
          <w:sz w:val="22"/>
          <w:szCs w:val="22"/>
          <w:u w:val="none"/>
          <w:lang w:val="en-US"/>
        </w:rPr>
      </w:pPr>
      <w:r w:rsidRPr="00043294">
        <w:rPr>
          <w:rStyle w:val="Hyperlink"/>
          <w:color w:val="auto"/>
          <w:sz w:val="22"/>
          <w:szCs w:val="22"/>
          <w:u w:val="none"/>
          <w:lang w:val="en-US"/>
        </w:rPr>
        <w:t>PACE</w:t>
      </w:r>
    </w:p>
    <w:p w14:paraId="1FF28350" w14:textId="77777777" w:rsidR="00A159F1" w:rsidRPr="00A159F1" w:rsidRDefault="00A159F1" w:rsidP="00A159F1">
      <w:pPr>
        <w:rPr>
          <w:rFonts w:cstheme="minorHAnsi"/>
          <w:lang w:val="en-US"/>
        </w:rPr>
      </w:pPr>
      <w:r w:rsidRPr="00A159F1">
        <w:rPr>
          <w:rFonts w:cstheme="minorHAnsi"/>
          <w:b/>
          <w:bCs/>
          <w:lang w:val="en-US"/>
        </w:rPr>
        <w:t>Albania</w:t>
      </w:r>
      <w:r w:rsidRPr="00A159F1">
        <w:rPr>
          <w:rFonts w:cstheme="minorHAnsi"/>
          <w:lang w:val="en-US"/>
        </w:rPr>
        <w:t xml:space="preserve"> | </w:t>
      </w:r>
      <w:hyperlink r:id="rId13" w:anchor="trace-1" w:history="1">
        <w:r w:rsidRPr="00A159F1">
          <w:rPr>
            <w:rStyle w:val="Hyperlink"/>
            <w:rFonts w:cstheme="minorHAnsi"/>
            <w:lang w:val="en-US"/>
          </w:rPr>
          <w:t>Doc. 15950</w:t>
        </w:r>
      </w:hyperlink>
      <w:r w:rsidRPr="00A159F1">
        <w:rPr>
          <w:rFonts w:cstheme="minorHAnsi"/>
          <w:lang w:val="en-US"/>
        </w:rPr>
        <w:t xml:space="preserve"> and </w:t>
      </w:r>
      <w:hyperlink r:id="rId14" w:history="1">
        <w:r w:rsidRPr="00A159F1">
          <w:rPr>
            <w:rStyle w:val="Hyperlink"/>
            <w:rFonts w:cstheme="minorHAnsi"/>
            <w:lang w:val="en-US"/>
          </w:rPr>
          <w:t>Resolution 2544 (2024)</w:t>
        </w:r>
      </w:hyperlink>
      <w:r w:rsidRPr="00A159F1">
        <w:rPr>
          <w:rFonts w:cstheme="minorHAnsi"/>
          <w:lang w:val="en-US"/>
        </w:rPr>
        <w:t xml:space="preserve"> | </w:t>
      </w:r>
      <w:hyperlink r:id="rId15" w:history="1">
        <w:r w:rsidRPr="00A159F1">
          <w:rPr>
            <w:rStyle w:val="Hyperlink"/>
            <w:rFonts w:cstheme="minorHAnsi"/>
            <w:lang w:val="en-US"/>
          </w:rPr>
          <w:t>Doc. 16086</w:t>
        </w:r>
      </w:hyperlink>
      <w:r w:rsidRPr="00A159F1">
        <w:rPr>
          <w:rFonts w:cstheme="minorHAnsi"/>
          <w:lang w:val="en-US"/>
        </w:rPr>
        <w:t xml:space="preserve"> </w:t>
      </w:r>
    </w:p>
    <w:p w14:paraId="35A45686" w14:textId="77777777" w:rsidR="00A159F1" w:rsidRPr="00A159F1" w:rsidRDefault="00A159F1" w:rsidP="00A159F1">
      <w:pPr>
        <w:rPr>
          <w:rFonts w:cstheme="minorHAnsi"/>
          <w:lang w:val="en-US"/>
        </w:rPr>
      </w:pPr>
    </w:p>
    <w:p w14:paraId="7C9830F0" w14:textId="77777777" w:rsidR="00A159F1" w:rsidRPr="00A159F1" w:rsidRDefault="00A159F1" w:rsidP="00A159F1">
      <w:pPr>
        <w:jc w:val="both"/>
        <w:rPr>
          <w:rFonts w:cstheme="minorHAnsi"/>
          <w:color w:val="161616"/>
          <w:shd w:val="clear" w:color="auto" w:fill="FFFFFF"/>
          <w:lang w:val="en-US"/>
        </w:rPr>
      </w:pPr>
      <w:r w:rsidRPr="00A159F1">
        <w:rPr>
          <w:rFonts w:cstheme="minorHAnsi"/>
          <w:color w:val="161616"/>
          <w:shd w:val="clear" w:color="auto" w:fill="FFFFFF"/>
          <w:lang w:val="en-US"/>
        </w:rPr>
        <w:t xml:space="preserve">The Monitoring Committee congratulates the country on the progress made in </w:t>
      </w:r>
      <w:proofErr w:type="spellStart"/>
      <w:r w:rsidRPr="00A159F1">
        <w:rPr>
          <w:rFonts w:cstheme="minorHAnsi"/>
          <w:color w:val="161616"/>
          <w:shd w:val="clear" w:color="auto" w:fill="FFFFFF"/>
          <w:lang w:val="en-US"/>
        </w:rPr>
        <w:t>honouring</w:t>
      </w:r>
      <w:proofErr w:type="spellEnd"/>
      <w:r w:rsidRPr="00A159F1">
        <w:rPr>
          <w:rFonts w:cstheme="minorHAnsi"/>
          <w:color w:val="161616"/>
          <w:shd w:val="clear" w:color="auto" w:fill="FFFFFF"/>
          <w:lang w:val="en-US"/>
        </w:rPr>
        <w:t xml:space="preserve"> its obligations and commitments to the Council of Europe that allowed the Assembly to close the full monitoring procedure and open a post</w:t>
      </w:r>
      <w:r w:rsidRPr="00A159F1">
        <w:rPr>
          <w:rFonts w:cstheme="minorHAnsi"/>
          <w:color w:val="161616"/>
          <w:shd w:val="clear" w:color="auto" w:fill="FFFFFF"/>
          <w:lang w:val="en-US"/>
        </w:rPr>
        <w:noBreakHyphen/>
        <w:t xml:space="preserve">monitoring dialogue. It expects that this positive trajectory will be continued, and that consistent and tangible progress will be made with addressing the Assembly’s recommendations </w:t>
      </w:r>
      <w:proofErr w:type="gramStart"/>
      <w:r w:rsidRPr="00A159F1">
        <w:rPr>
          <w:rFonts w:cstheme="minorHAnsi"/>
          <w:color w:val="161616"/>
          <w:shd w:val="clear" w:color="auto" w:fill="FFFFFF"/>
          <w:lang w:val="en-US"/>
        </w:rPr>
        <w:t>with regard to</w:t>
      </w:r>
      <w:proofErr w:type="gramEnd"/>
      <w:r w:rsidRPr="00A159F1">
        <w:rPr>
          <w:rFonts w:cstheme="minorHAnsi"/>
          <w:color w:val="161616"/>
          <w:shd w:val="clear" w:color="auto" w:fill="FFFFFF"/>
          <w:lang w:val="en-US"/>
        </w:rPr>
        <w:t xml:space="preserve"> the fight against corruption, the protection of minorities, media freedom and freedom of expression. In that respect, the Committee especially calls upon the authorities to adopt the three remaining by-laws that are essential to implement the provisions of the 2017 Law on the Protection of National Minorities.</w:t>
      </w:r>
    </w:p>
    <w:p w14:paraId="759A545B" w14:textId="77777777" w:rsidR="00A159F1" w:rsidRPr="00A159F1" w:rsidRDefault="00A159F1" w:rsidP="00A159F1">
      <w:pPr>
        <w:jc w:val="both"/>
        <w:rPr>
          <w:rFonts w:cstheme="minorHAnsi"/>
          <w:color w:val="161616"/>
          <w:shd w:val="clear" w:color="auto" w:fill="FFFFFF"/>
          <w:lang w:val="en-US"/>
        </w:rPr>
      </w:pPr>
    </w:p>
    <w:p w14:paraId="3CA319ED" w14:textId="77777777" w:rsidR="00A159F1" w:rsidRPr="00A159F1" w:rsidRDefault="00A159F1" w:rsidP="00A159F1">
      <w:pPr>
        <w:jc w:val="both"/>
        <w:rPr>
          <w:rFonts w:cstheme="minorHAnsi"/>
          <w:lang w:val="en-US"/>
        </w:rPr>
      </w:pPr>
      <w:r w:rsidRPr="00A159F1">
        <w:rPr>
          <w:rFonts w:cstheme="minorHAnsi"/>
          <w:color w:val="161616"/>
          <w:shd w:val="clear" w:color="auto" w:fill="FFFFFF"/>
          <w:lang w:val="en-US"/>
        </w:rPr>
        <w:t xml:space="preserve">The Monitoring Committee held a meeting on 2 and 3 December 2024 in Tirana and </w:t>
      </w:r>
      <w:proofErr w:type="spellStart"/>
      <w:r w:rsidRPr="00A159F1">
        <w:rPr>
          <w:rFonts w:cstheme="minorHAnsi"/>
          <w:color w:val="161616"/>
          <w:shd w:val="clear" w:color="auto" w:fill="FFFFFF"/>
          <w:lang w:val="en-US"/>
        </w:rPr>
        <w:t>Berat</w:t>
      </w:r>
      <w:proofErr w:type="spellEnd"/>
      <w:r w:rsidRPr="00A159F1">
        <w:rPr>
          <w:rFonts w:cstheme="minorHAnsi"/>
          <w:color w:val="161616"/>
          <w:shd w:val="clear" w:color="auto" w:fill="FFFFFF"/>
          <w:lang w:val="en-US"/>
        </w:rPr>
        <w:t>.</w:t>
      </w:r>
    </w:p>
    <w:p w14:paraId="2B75C934" w14:textId="78DBB66E" w:rsidR="00A159F1" w:rsidRPr="00161282" w:rsidRDefault="00A159F1" w:rsidP="00161282">
      <w:pPr>
        <w:shd w:val="clear" w:color="auto" w:fill="FFFFFF"/>
        <w:spacing w:before="100" w:beforeAutospacing="1" w:after="100" w:afterAutospacing="1"/>
        <w:rPr>
          <w:rFonts w:ascii="Calibri" w:eastAsiaTheme="minorHAnsi" w:hAnsi="Calibri" w:cs="Calibri"/>
          <w:color w:val="161616"/>
          <w:lang w:val="en-US"/>
          <w14:ligatures w14:val="standardContextual"/>
        </w:rPr>
      </w:pPr>
    </w:p>
    <w:p w14:paraId="5DDFAE33" w14:textId="77777777" w:rsidR="00487AB9" w:rsidRDefault="00487AB9" w:rsidP="00487AB9">
      <w:pPr>
        <w:pStyle w:val="Heading1"/>
        <w:rPr>
          <w:lang w:val="en-US"/>
        </w:rPr>
      </w:pPr>
      <w:bookmarkStart w:id="0" w:name="_Toc36635832"/>
      <w:r>
        <w:rPr>
          <w:lang w:val="en-US"/>
        </w:rPr>
        <w:lastRenderedPageBreak/>
        <w:t xml:space="preserve">II </w:t>
      </w:r>
      <w:r w:rsidRPr="00546B57">
        <w:rPr>
          <w:lang w:val="en-US"/>
        </w:rPr>
        <w:t>Anti-corruption framework</w:t>
      </w:r>
      <w:bookmarkEnd w:id="0"/>
      <w:r w:rsidRPr="00546B57">
        <w:rPr>
          <w:lang w:val="en-US"/>
        </w:rPr>
        <w:t xml:space="preserve"> </w:t>
      </w:r>
    </w:p>
    <w:p w14:paraId="692AC7B2" w14:textId="77777777" w:rsidR="00487AB9" w:rsidRDefault="00487AB9" w:rsidP="00487AB9">
      <w:pPr>
        <w:rPr>
          <w:lang w:val="en-US"/>
        </w:rPr>
      </w:pPr>
    </w:p>
    <w:p w14:paraId="586BF550" w14:textId="77777777" w:rsidR="00A01439" w:rsidRPr="00ED239B" w:rsidRDefault="00A01439" w:rsidP="00A01439">
      <w:pPr>
        <w:pStyle w:val="NoSpacing"/>
        <w:rPr>
          <w:rFonts w:ascii="Calibri" w:hAnsi="Calibri" w:cs="Calibri"/>
          <w:color w:val="161616"/>
          <w:lang w:val="en-GB"/>
        </w:rPr>
      </w:pPr>
      <w:r w:rsidRPr="00ED239B">
        <w:rPr>
          <w:rFonts w:ascii="Calibri" w:hAnsi="Calibri" w:cs="Calibri"/>
          <w:color w:val="161616"/>
          <w:lang w:val="en-GB"/>
        </w:rPr>
        <w:t xml:space="preserve">MONEYVAL </w:t>
      </w:r>
    </w:p>
    <w:p w14:paraId="40AED5F4" w14:textId="77777777" w:rsidR="00A01439" w:rsidRPr="00ED239B" w:rsidRDefault="00A01439" w:rsidP="00A01439">
      <w:pPr>
        <w:pStyle w:val="NoSpacing"/>
        <w:rPr>
          <w:rFonts w:ascii="Calibri" w:hAnsi="Calibri" w:cs="Calibri"/>
          <w:color w:val="161616"/>
          <w:lang w:val="en-GB"/>
        </w:rPr>
      </w:pPr>
      <w:r w:rsidRPr="00ED239B">
        <w:rPr>
          <w:rFonts w:ascii="Calibri" w:hAnsi="Calibri" w:cs="Calibri"/>
          <w:color w:val="161616"/>
          <w:lang w:val="en-GB"/>
        </w:rPr>
        <w:t xml:space="preserve">N/A </w:t>
      </w:r>
    </w:p>
    <w:p w14:paraId="0E52CDF5" w14:textId="77777777" w:rsidR="00A01439" w:rsidRPr="00ED239B" w:rsidRDefault="00A01439" w:rsidP="00A01439">
      <w:pPr>
        <w:pStyle w:val="NoSpacing"/>
        <w:rPr>
          <w:rFonts w:ascii="Calibri" w:hAnsi="Calibri" w:cs="Calibri"/>
          <w:color w:val="161616"/>
          <w:lang w:val="en-GB"/>
        </w:rPr>
      </w:pPr>
    </w:p>
    <w:p w14:paraId="19B3DB17" w14:textId="77777777" w:rsidR="00A01439" w:rsidRPr="00AE04CC" w:rsidRDefault="00A01439" w:rsidP="00A01439">
      <w:pPr>
        <w:pStyle w:val="NoSpacing"/>
        <w:rPr>
          <w:rFonts w:ascii="Calibri" w:hAnsi="Calibri" w:cs="Calibri"/>
          <w:color w:val="161616"/>
          <w:lang w:val="it-IT"/>
        </w:rPr>
      </w:pPr>
      <w:r w:rsidRPr="00AE04CC">
        <w:rPr>
          <w:rFonts w:ascii="Calibri" w:hAnsi="Calibri" w:cs="Calibri"/>
          <w:color w:val="161616"/>
          <w:lang w:val="it-IT"/>
        </w:rPr>
        <w:t xml:space="preserve">COP 198 </w:t>
      </w:r>
    </w:p>
    <w:p w14:paraId="23E8C5D8" w14:textId="77777777" w:rsidR="00A01439" w:rsidRPr="00AE04CC" w:rsidRDefault="00A01439" w:rsidP="00A01439">
      <w:pPr>
        <w:pStyle w:val="NoSpacing"/>
        <w:rPr>
          <w:rFonts w:ascii="Calibri" w:hAnsi="Calibri" w:cs="Calibri"/>
          <w:color w:val="161616"/>
          <w:lang w:val="it-IT"/>
        </w:rPr>
      </w:pPr>
      <w:r w:rsidRPr="00AE04CC">
        <w:rPr>
          <w:rFonts w:ascii="Calibri" w:hAnsi="Calibri" w:cs="Calibri"/>
          <w:color w:val="161616"/>
          <w:lang w:val="it-IT"/>
        </w:rPr>
        <w:t>N/A</w:t>
      </w:r>
    </w:p>
    <w:p w14:paraId="293BEA75" w14:textId="77777777" w:rsidR="00487AB9" w:rsidRPr="00AE04CC" w:rsidRDefault="00487AB9" w:rsidP="00487AB9">
      <w:pPr>
        <w:rPr>
          <w:lang w:val="it-IT"/>
        </w:rPr>
      </w:pPr>
    </w:p>
    <w:p w14:paraId="7A9E4877" w14:textId="7A7D9A40" w:rsidR="00487AB9" w:rsidRDefault="00AE04CC" w:rsidP="00487AB9">
      <w:pPr>
        <w:rPr>
          <w:lang w:val="it-IT"/>
        </w:rPr>
      </w:pPr>
      <w:r w:rsidRPr="00AE04CC">
        <w:rPr>
          <w:lang w:val="it-IT"/>
        </w:rPr>
        <w:t>Venice C</w:t>
      </w:r>
      <w:r>
        <w:rPr>
          <w:lang w:val="it-IT"/>
        </w:rPr>
        <w:t xml:space="preserve">ommission </w:t>
      </w:r>
    </w:p>
    <w:p w14:paraId="1B910782" w14:textId="77777777" w:rsidR="00AE04CC" w:rsidRDefault="00AE04CC" w:rsidP="00487AB9">
      <w:pPr>
        <w:rPr>
          <w:lang w:val="it-IT"/>
        </w:rPr>
      </w:pPr>
    </w:p>
    <w:p w14:paraId="71E2F0D9" w14:textId="77777777" w:rsidR="00AE04CC" w:rsidRDefault="00AE04CC" w:rsidP="00AE04CC">
      <w:pPr>
        <w:pStyle w:val="Default"/>
        <w:jc w:val="both"/>
        <w:rPr>
          <w:rFonts w:asciiTheme="minorHAnsi" w:hAnsiTheme="minorHAnsi" w:cstheme="minorHAnsi"/>
          <w:color w:val="auto"/>
          <w:sz w:val="20"/>
          <w:szCs w:val="20"/>
          <w:lang w:val="en-GB"/>
        </w:rPr>
      </w:pPr>
      <w:r>
        <w:fldChar w:fldCharType="begin"/>
      </w:r>
      <w:r w:rsidRPr="0015253B">
        <w:rPr>
          <w:lang w:val="en-GB"/>
          <w:rPrChange w:id="1" w:author="DANIELL Saskia" w:date="2025-01-31T13:04:00Z">
            <w:rPr/>
          </w:rPrChange>
        </w:rPr>
        <w:instrText>HYPERLINK "https://www.venice.coe.int/webforms/documents/default.aspx?pdffile=CDL-AD(2024)044-e"</w:instrText>
      </w:r>
      <w:r>
        <w:fldChar w:fldCharType="separate"/>
      </w:r>
      <w:r w:rsidRPr="00E719CB">
        <w:rPr>
          <w:rStyle w:val="Hyperlink"/>
          <w:rFonts w:asciiTheme="minorHAnsi" w:hAnsiTheme="minorHAnsi" w:cstheme="minorHAnsi"/>
          <w:sz w:val="20"/>
          <w:szCs w:val="20"/>
          <w:lang w:val="en-GB"/>
        </w:rPr>
        <w:t>CDL-</w:t>
      </w:r>
      <w:proofErr w:type="gramStart"/>
      <w:r w:rsidRPr="00E719CB">
        <w:rPr>
          <w:rStyle w:val="Hyperlink"/>
          <w:rFonts w:asciiTheme="minorHAnsi" w:hAnsiTheme="minorHAnsi" w:cstheme="minorHAnsi"/>
          <w:sz w:val="20"/>
          <w:szCs w:val="20"/>
          <w:lang w:val="en-GB"/>
        </w:rPr>
        <w:t>AD(</w:t>
      </w:r>
      <w:proofErr w:type="gramEnd"/>
      <w:r w:rsidRPr="00E719CB">
        <w:rPr>
          <w:rStyle w:val="Hyperlink"/>
          <w:rFonts w:asciiTheme="minorHAnsi" w:hAnsiTheme="minorHAnsi" w:cstheme="minorHAnsi"/>
          <w:sz w:val="20"/>
          <w:szCs w:val="20"/>
          <w:lang w:val="en-GB"/>
        </w:rPr>
        <w:t>2024)044-e</w:t>
      </w:r>
      <w:r>
        <w:rPr>
          <w:rStyle w:val="Hyperlink"/>
          <w:rFonts w:asciiTheme="minorHAnsi" w:hAnsiTheme="minorHAnsi" w:cstheme="minorHAnsi"/>
          <w:sz w:val="20"/>
          <w:szCs w:val="20"/>
          <w:lang w:val="en-GB"/>
        </w:rPr>
        <w:fldChar w:fldCharType="end"/>
      </w:r>
      <w:r w:rsidRPr="00E719CB">
        <w:rPr>
          <w:rFonts w:asciiTheme="minorHAnsi" w:hAnsiTheme="minorHAnsi" w:cstheme="minorHAnsi"/>
          <w:color w:val="auto"/>
          <w:sz w:val="20"/>
          <w:szCs w:val="20"/>
          <w:lang w:val="en-GB"/>
        </w:rPr>
        <w:br/>
        <w:t>Interpretative declaration of the Code of good practice in electoral matters as concerns digital technologies and artificial intelligence, approved by the Council for Democratic Elections at its 81st meeting (Venice, 5 December 2024) and adopted by the Venice Commission at its 141st Plenary Session (Venice, 6-7 December 2024)</w:t>
      </w:r>
    </w:p>
    <w:p w14:paraId="2A3E9EEF" w14:textId="77777777" w:rsidR="00AE04CC" w:rsidRDefault="00AE04CC" w:rsidP="00AE04CC">
      <w:pPr>
        <w:pStyle w:val="Default"/>
        <w:jc w:val="both"/>
        <w:rPr>
          <w:rFonts w:asciiTheme="minorHAnsi" w:hAnsiTheme="minorHAnsi" w:cstheme="minorHAnsi"/>
          <w:color w:val="auto"/>
          <w:sz w:val="20"/>
          <w:szCs w:val="20"/>
          <w:lang w:val="en-GB"/>
        </w:rPr>
      </w:pPr>
    </w:p>
    <w:p w14:paraId="3F63F218" w14:textId="77777777" w:rsidR="00AE04CC" w:rsidRDefault="00AE04CC" w:rsidP="00AE04CC">
      <w:pPr>
        <w:pStyle w:val="Default"/>
        <w:jc w:val="both"/>
        <w:rPr>
          <w:rFonts w:asciiTheme="minorHAnsi" w:hAnsiTheme="minorHAnsi" w:cstheme="minorHAnsi"/>
          <w:color w:val="auto"/>
          <w:sz w:val="20"/>
          <w:szCs w:val="20"/>
          <w:lang w:val="en-GB"/>
        </w:rPr>
      </w:pPr>
      <w:r>
        <w:fldChar w:fldCharType="begin"/>
      </w:r>
      <w:r w:rsidRPr="0015253B">
        <w:rPr>
          <w:lang w:val="en-GB"/>
          <w:rPrChange w:id="2" w:author="DANIELL Saskia" w:date="2025-01-31T13:04:00Z">
            <w:rPr/>
          </w:rPrChange>
        </w:rPr>
        <w:instrText>HYPERLINK "https://www.venice.coe.int/webforms/documents/default.aspx?pdffile=CDL-AD(2024)027-e"</w:instrText>
      </w:r>
      <w:r>
        <w:fldChar w:fldCharType="separate"/>
      </w:r>
      <w:r w:rsidRPr="00E719CB">
        <w:rPr>
          <w:rStyle w:val="Hyperlink"/>
          <w:rFonts w:asciiTheme="minorHAnsi" w:hAnsiTheme="minorHAnsi" w:cstheme="minorHAnsi"/>
          <w:sz w:val="20"/>
          <w:szCs w:val="20"/>
          <w:lang w:val="en-GB"/>
        </w:rPr>
        <w:t>CDL-</w:t>
      </w:r>
      <w:proofErr w:type="gramStart"/>
      <w:r w:rsidRPr="00E719CB">
        <w:rPr>
          <w:rStyle w:val="Hyperlink"/>
          <w:rFonts w:asciiTheme="minorHAnsi" w:hAnsiTheme="minorHAnsi" w:cstheme="minorHAnsi"/>
          <w:sz w:val="20"/>
          <w:szCs w:val="20"/>
          <w:lang w:val="en-GB"/>
        </w:rPr>
        <w:t>AD(</w:t>
      </w:r>
      <w:proofErr w:type="gramEnd"/>
      <w:r w:rsidRPr="00E719CB">
        <w:rPr>
          <w:rStyle w:val="Hyperlink"/>
          <w:rFonts w:asciiTheme="minorHAnsi" w:hAnsiTheme="minorHAnsi" w:cstheme="minorHAnsi"/>
          <w:sz w:val="20"/>
          <w:szCs w:val="20"/>
          <w:lang w:val="en-GB"/>
        </w:rPr>
        <w:t>2024)027-e</w:t>
      </w:r>
      <w:r>
        <w:rPr>
          <w:rStyle w:val="Hyperlink"/>
          <w:rFonts w:asciiTheme="minorHAnsi" w:hAnsiTheme="minorHAnsi" w:cstheme="minorHAnsi"/>
          <w:sz w:val="20"/>
          <w:szCs w:val="20"/>
          <w:lang w:val="en-GB"/>
        </w:rPr>
        <w:fldChar w:fldCharType="end"/>
      </w:r>
      <w:r w:rsidRPr="00E719CB">
        <w:rPr>
          <w:rFonts w:asciiTheme="minorHAnsi" w:hAnsiTheme="minorHAnsi" w:cstheme="minorHAnsi"/>
          <w:color w:val="auto"/>
          <w:sz w:val="20"/>
          <w:szCs w:val="20"/>
          <w:lang w:val="en-GB"/>
        </w:rPr>
        <w:br/>
        <w:t>Revised interpretative declaration on the Stability of electoral law, approved by the Council for Democratic Elections at its 80th meeting (Venice, 20 June 2024) and adopted by the Venice Commission at its 139th Plenary Session (Venice, 21-22 June 2024)</w:t>
      </w:r>
    </w:p>
    <w:p w14:paraId="784B5031" w14:textId="77777777" w:rsidR="00AE04CC" w:rsidRDefault="00AE04CC" w:rsidP="00AE04CC">
      <w:pPr>
        <w:pStyle w:val="Default"/>
        <w:ind w:left="720"/>
        <w:jc w:val="both"/>
        <w:rPr>
          <w:rFonts w:asciiTheme="minorHAnsi" w:hAnsiTheme="minorHAnsi" w:cstheme="minorHAnsi"/>
          <w:color w:val="auto"/>
          <w:sz w:val="20"/>
          <w:szCs w:val="20"/>
          <w:lang w:val="en-GB"/>
        </w:rPr>
      </w:pPr>
    </w:p>
    <w:p w14:paraId="7C5060F5" w14:textId="77777777" w:rsidR="00AE04CC" w:rsidRDefault="00AE04CC" w:rsidP="00E743AE">
      <w:pPr>
        <w:pStyle w:val="Default"/>
        <w:jc w:val="both"/>
        <w:rPr>
          <w:rFonts w:asciiTheme="minorHAnsi" w:hAnsiTheme="minorHAnsi" w:cstheme="minorHAnsi"/>
          <w:color w:val="auto"/>
          <w:sz w:val="20"/>
          <w:szCs w:val="20"/>
          <w:lang w:val="en-GB"/>
        </w:rPr>
      </w:pPr>
      <w:r>
        <w:fldChar w:fldCharType="begin"/>
      </w:r>
      <w:r w:rsidRPr="0015253B">
        <w:rPr>
          <w:lang w:val="en-GB"/>
          <w:rPrChange w:id="3" w:author="DANIELL Saskia" w:date="2025-01-31T13:04:00Z">
            <w:rPr/>
          </w:rPrChange>
        </w:rPr>
        <w:instrText>HYPERLINK "https://www.venice.coe.int/webforms/documents/default.aspx?pdffile=CDL-AD(2020)023-e"</w:instrText>
      </w:r>
      <w:r>
        <w:fldChar w:fldCharType="separate"/>
      </w:r>
      <w:r w:rsidRPr="00E02273">
        <w:rPr>
          <w:rStyle w:val="Hyperlink"/>
          <w:rFonts w:asciiTheme="minorHAnsi" w:hAnsiTheme="minorHAnsi" w:cstheme="minorHAnsi"/>
          <w:sz w:val="20"/>
          <w:szCs w:val="20"/>
          <w:lang w:val="en-GB"/>
        </w:rPr>
        <w:t>CDL-</w:t>
      </w:r>
      <w:proofErr w:type="gramStart"/>
      <w:r w:rsidRPr="00E02273">
        <w:rPr>
          <w:rStyle w:val="Hyperlink"/>
          <w:rFonts w:asciiTheme="minorHAnsi" w:hAnsiTheme="minorHAnsi" w:cstheme="minorHAnsi"/>
          <w:sz w:val="20"/>
          <w:szCs w:val="20"/>
          <w:lang w:val="en-GB"/>
        </w:rPr>
        <w:t>AD(</w:t>
      </w:r>
      <w:proofErr w:type="gramEnd"/>
      <w:r w:rsidRPr="00E02273">
        <w:rPr>
          <w:rStyle w:val="Hyperlink"/>
          <w:rFonts w:asciiTheme="minorHAnsi" w:hAnsiTheme="minorHAnsi" w:cstheme="minorHAnsi"/>
          <w:sz w:val="20"/>
          <w:szCs w:val="20"/>
          <w:lang w:val="en-GB"/>
        </w:rPr>
        <w:t>2020)023-e</w:t>
      </w:r>
      <w:r>
        <w:rPr>
          <w:rStyle w:val="Hyperlink"/>
          <w:rFonts w:asciiTheme="minorHAnsi" w:hAnsiTheme="minorHAnsi" w:cstheme="minorHAnsi"/>
          <w:sz w:val="20"/>
          <w:szCs w:val="20"/>
          <w:lang w:val="en-GB"/>
        </w:rPr>
        <w:fldChar w:fldCharType="end"/>
      </w:r>
      <w:r w:rsidRPr="00E02273">
        <w:rPr>
          <w:rFonts w:asciiTheme="minorHAnsi" w:hAnsiTheme="minorHAnsi" w:cstheme="minorHAnsi"/>
          <w:color w:val="auto"/>
          <w:sz w:val="20"/>
          <w:szCs w:val="20"/>
          <w:lang w:val="en-GB"/>
        </w:rPr>
        <w:br/>
        <w:t>Report on electoral law and electoral administration in Europe - Synthesis study on recurrent challenges and problematic issues - Taken note of by the Council of Democratic Elections at its 69th online meeting (7 October 2020) and the Venice Commission at its 124th online Plenary Session (8-9 October 2020)</w:t>
      </w:r>
    </w:p>
    <w:p w14:paraId="32A48C45" w14:textId="77777777" w:rsidR="00AE04CC" w:rsidRDefault="00AE04CC" w:rsidP="00E743AE">
      <w:pPr>
        <w:pStyle w:val="Default"/>
        <w:jc w:val="both"/>
        <w:rPr>
          <w:rFonts w:asciiTheme="minorHAnsi" w:hAnsiTheme="minorHAnsi" w:cstheme="minorHAnsi"/>
          <w:color w:val="auto"/>
          <w:sz w:val="20"/>
          <w:szCs w:val="20"/>
          <w:lang w:val="en-GB"/>
        </w:rPr>
      </w:pPr>
    </w:p>
    <w:p w14:paraId="6DA5F0E1" w14:textId="77777777" w:rsidR="00AE04CC" w:rsidRDefault="00AE04CC" w:rsidP="00E743AE">
      <w:pPr>
        <w:pStyle w:val="Default"/>
        <w:jc w:val="both"/>
        <w:rPr>
          <w:rFonts w:asciiTheme="minorHAnsi" w:hAnsiTheme="minorHAnsi" w:cstheme="minorHAnsi"/>
          <w:color w:val="auto"/>
          <w:sz w:val="20"/>
          <w:szCs w:val="20"/>
          <w:lang w:val="en-GB"/>
        </w:rPr>
      </w:pPr>
      <w:r>
        <w:fldChar w:fldCharType="begin"/>
      </w:r>
      <w:r w:rsidRPr="00A0677D">
        <w:rPr>
          <w:lang w:val="en-GB"/>
          <w:rPrChange w:id="4" w:author="DANIELL Saskia" w:date="2025-01-30T19:03:00Z">
            <w:rPr/>
          </w:rPrChange>
        </w:rPr>
        <w:instrText>HYPERLINK "https://www.venice.coe.int/webforms/documents/default.aspx?pdffile=CDL-AD(2016)004-e"</w:instrText>
      </w:r>
      <w:r>
        <w:fldChar w:fldCharType="separate"/>
      </w:r>
      <w:r w:rsidRPr="000E1C23">
        <w:rPr>
          <w:rStyle w:val="Hyperlink"/>
          <w:rFonts w:asciiTheme="minorHAnsi" w:hAnsiTheme="minorHAnsi" w:cstheme="minorHAnsi"/>
          <w:sz w:val="20"/>
          <w:szCs w:val="20"/>
          <w:lang w:val="en-GB"/>
        </w:rPr>
        <w:t>CDL-</w:t>
      </w:r>
      <w:proofErr w:type="gramStart"/>
      <w:r w:rsidRPr="000E1C23">
        <w:rPr>
          <w:rStyle w:val="Hyperlink"/>
          <w:rFonts w:asciiTheme="minorHAnsi" w:hAnsiTheme="minorHAnsi" w:cstheme="minorHAnsi"/>
          <w:sz w:val="20"/>
          <w:szCs w:val="20"/>
          <w:lang w:val="en-GB"/>
        </w:rPr>
        <w:t>AD(</w:t>
      </w:r>
      <w:proofErr w:type="gramEnd"/>
      <w:r w:rsidRPr="000E1C23">
        <w:rPr>
          <w:rStyle w:val="Hyperlink"/>
          <w:rFonts w:asciiTheme="minorHAnsi" w:hAnsiTheme="minorHAnsi" w:cstheme="minorHAnsi"/>
          <w:sz w:val="20"/>
          <w:szCs w:val="20"/>
          <w:lang w:val="en-GB"/>
        </w:rPr>
        <w:t>2016)004-e</w:t>
      </w:r>
      <w:r>
        <w:rPr>
          <w:rStyle w:val="Hyperlink"/>
          <w:rFonts w:asciiTheme="minorHAnsi" w:hAnsiTheme="minorHAnsi" w:cstheme="minorHAnsi"/>
          <w:sz w:val="20"/>
          <w:szCs w:val="20"/>
          <w:lang w:val="en-GB"/>
        </w:rPr>
        <w:fldChar w:fldCharType="end"/>
      </w:r>
      <w:r w:rsidRPr="000E1C23">
        <w:rPr>
          <w:rFonts w:asciiTheme="minorHAnsi" w:hAnsiTheme="minorHAnsi" w:cstheme="minorHAnsi"/>
          <w:color w:val="auto"/>
          <w:sz w:val="20"/>
          <w:szCs w:val="20"/>
          <w:lang w:val="en-GB"/>
        </w:rPr>
        <w:t xml:space="preserve"> </w:t>
      </w:r>
    </w:p>
    <w:p w14:paraId="1216E253" w14:textId="77777777" w:rsidR="00AE04CC" w:rsidRPr="00161FBB" w:rsidRDefault="00AE04CC" w:rsidP="00E743AE">
      <w:pPr>
        <w:pStyle w:val="Default"/>
        <w:jc w:val="both"/>
        <w:rPr>
          <w:rFonts w:asciiTheme="minorHAnsi" w:hAnsiTheme="minorHAnsi" w:cstheme="minorHAnsi"/>
          <w:color w:val="auto"/>
          <w:sz w:val="20"/>
          <w:szCs w:val="20"/>
          <w:lang w:val="en-US"/>
        </w:rPr>
      </w:pPr>
      <w:r w:rsidRPr="000E1C23">
        <w:rPr>
          <w:rFonts w:asciiTheme="minorHAnsi" w:hAnsiTheme="minorHAnsi" w:cstheme="minorHAnsi"/>
          <w:color w:val="auto"/>
          <w:sz w:val="20"/>
          <w:szCs w:val="20"/>
          <w:lang w:val="en-GB"/>
        </w:rPr>
        <w:t>Joint Guidelines for preventing and responding to the misuse of administrative resources during electoral processes, adopted by the Council for Democratic Elections at its 54th meeting, Venice, 10 March 2016 and by the Venice Commission at its 106th plenary session, Venice, 11-12 March 2016</w:t>
      </w:r>
    </w:p>
    <w:p w14:paraId="2BD8AA06" w14:textId="77777777" w:rsidR="00AE04CC" w:rsidRPr="00AE04CC" w:rsidRDefault="00AE04CC" w:rsidP="00487AB9">
      <w:pPr>
        <w:rPr>
          <w:lang w:val="en-US"/>
        </w:rPr>
      </w:pPr>
    </w:p>
    <w:p w14:paraId="254F05C0" w14:textId="77777777" w:rsidR="00487AB9" w:rsidRPr="00AA446E" w:rsidRDefault="00487AB9" w:rsidP="00487AB9">
      <w:pPr>
        <w:pStyle w:val="Heading1"/>
        <w:rPr>
          <w:lang w:val="en-US"/>
        </w:rPr>
      </w:pPr>
      <w:bookmarkStart w:id="5" w:name="_Toc36635845"/>
      <w:r w:rsidRPr="00AA446E">
        <w:rPr>
          <w:lang w:val="en-US"/>
        </w:rPr>
        <w:t>III Media pluralism</w:t>
      </w:r>
      <w:bookmarkEnd w:id="5"/>
      <w:r w:rsidRPr="00AA446E">
        <w:rPr>
          <w:lang w:val="en-US"/>
        </w:rPr>
        <w:t xml:space="preserve"> </w:t>
      </w:r>
    </w:p>
    <w:p w14:paraId="639C6ECA" w14:textId="77777777" w:rsidR="00487AB9" w:rsidRPr="00AA446E" w:rsidRDefault="00487AB9" w:rsidP="00487AB9">
      <w:pPr>
        <w:rPr>
          <w:lang w:val="en-US"/>
        </w:rPr>
      </w:pPr>
    </w:p>
    <w:p w14:paraId="035325A3" w14:textId="77777777" w:rsidR="00487AB9" w:rsidRPr="00AA446E" w:rsidRDefault="00487AB9" w:rsidP="00487AB9">
      <w:pPr>
        <w:rPr>
          <w:lang w:val="en-US"/>
        </w:rPr>
      </w:pPr>
    </w:p>
    <w:p w14:paraId="27D7810F" w14:textId="77777777" w:rsidR="00487AB9" w:rsidRDefault="00487AB9" w:rsidP="00487AB9">
      <w:pPr>
        <w:pStyle w:val="Heading1"/>
        <w:rPr>
          <w:lang w:val="en-US"/>
        </w:rPr>
      </w:pPr>
      <w:bookmarkStart w:id="6" w:name="_Toc36635858"/>
      <w:r>
        <w:rPr>
          <w:lang w:val="en-US"/>
        </w:rPr>
        <w:t xml:space="preserve">IV </w:t>
      </w:r>
      <w:r w:rsidRPr="00546B57">
        <w:rPr>
          <w:lang w:val="en-US"/>
        </w:rPr>
        <w:t>Other institutional issues related to checks and balances</w:t>
      </w:r>
      <w:bookmarkEnd w:id="6"/>
      <w:r w:rsidRPr="00546B57">
        <w:rPr>
          <w:lang w:val="en-US"/>
        </w:rPr>
        <w:t xml:space="preserve"> </w:t>
      </w: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23422531" w14:textId="77777777" w:rsidR="00AA446E" w:rsidRPr="00A159F1" w:rsidRDefault="00AA446E" w:rsidP="00AA446E">
      <w:pPr>
        <w:rPr>
          <w:lang w:val="en-US"/>
        </w:rPr>
      </w:pPr>
      <w:r w:rsidRPr="00A159F1">
        <w:rPr>
          <w:lang w:val="en-US"/>
        </w:rPr>
        <w:t xml:space="preserve">Venice Commission </w:t>
      </w:r>
    </w:p>
    <w:p w14:paraId="582697D4" w14:textId="20F2555E" w:rsidR="00AA446E" w:rsidRDefault="00AA446E">
      <w:pPr>
        <w:rPr>
          <w:rFonts w:cs="Arial"/>
          <w:color w:val="FFFFFF" w:themeColor="background1"/>
          <w:sz w:val="22"/>
          <w:szCs w:val="22"/>
          <w:shd w:val="clear" w:color="auto" w:fill="1F3864" w:themeFill="accent1" w:themeFillShade="80"/>
          <w:lang w:val="en-US"/>
        </w:rPr>
      </w:pPr>
    </w:p>
    <w:p w14:paraId="275E3344" w14:textId="77777777" w:rsidR="00AA446E" w:rsidRPr="00A76534" w:rsidRDefault="00000000" w:rsidP="00AA446E">
      <w:pPr>
        <w:pStyle w:val="Default"/>
        <w:jc w:val="both"/>
        <w:rPr>
          <w:rStyle w:val="Hyperlink"/>
          <w:rFonts w:asciiTheme="minorHAnsi" w:hAnsiTheme="minorHAnsi" w:cstheme="minorHAnsi"/>
          <w:color w:val="auto"/>
          <w:sz w:val="20"/>
          <w:szCs w:val="20"/>
          <w:lang w:val="en-US"/>
        </w:rPr>
      </w:pPr>
      <w:hyperlink r:id="rId16" w:history="1">
        <w:r w:rsidR="00AA446E" w:rsidRPr="00A76534">
          <w:rPr>
            <w:rStyle w:val="Hyperlink"/>
            <w:rFonts w:asciiTheme="minorHAnsi" w:hAnsiTheme="minorHAnsi" w:cstheme="minorHAnsi"/>
            <w:sz w:val="20"/>
            <w:szCs w:val="20"/>
            <w:lang w:val="en-US"/>
          </w:rPr>
          <w:t>CDL-</w:t>
        </w:r>
        <w:proofErr w:type="gramStart"/>
        <w:r w:rsidR="00AA446E" w:rsidRPr="00A76534">
          <w:rPr>
            <w:rStyle w:val="Hyperlink"/>
            <w:rFonts w:asciiTheme="minorHAnsi" w:hAnsiTheme="minorHAnsi" w:cstheme="minorHAnsi"/>
            <w:sz w:val="20"/>
            <w:szCs w:val="20"/>
            <w:lang w:val="en-US"/>
          </w:rPr>
          <w:t>AD(</w:t>
        </w:r>
        <w:proofErr w:type="gramEnd"/>
        <w:r w:rsidR="00AA446E" w:rsidRPr="00A76534">
          <w:rPr>
            <w:rStyle w:val="Hyperlink"/>
            <w:rFonts w:asciiTheme="minorHAnsi" w:hAnsiTheme="minorHAnsi" w:cstheme="minorHAnsi"/>
            <w:sz w:val="20"/>
            <w:szCs w:val="20"/>
            <w:lang w:val="en-US"/>
          </w:rPr>
          <w:t>2024)040-e</w:t>
        </w:r>
      </w:hyperlink>
      <w:bookmarkStart w:id="7" w:name="_Toc187764568"/>
    </w:p>
    <w:p w14:paraId="63E18E18" w14:textId="77777777" w:rsidR="00AA446E" w:rsidRPr="008B2AE3" w:rsidRDefault="00AA446E" w:rsidP="00AA446E">
      <w:pPr>
        <w:pStyle w:val="Default"/>
        <w:jc w:val="both"/>
        <w:rPr>
          <w:rFonts w:asciiTheme="minorHAnsi" w:hAnsiTheme="minorHAnsi" w:cstheme="minorHAnsi"/>
          <w:color w:val="auto"/>
          <w:sz w:val="20"/>
          <w:szCs w:val="20"/>
          <w:lang w:val="en-US"/>
        </w:rPr>
      </w:pPr>
      <w:r w:rsidRPr="008B2AE3">
        <w:rPr>
          <w:color w:val="auto"/>
          <w:sz w:val="20"/>
          <w:szCs w:val="20"/>
          <w:lang w:val="en-US"/>
        </w:rPr>
        <w:t>Opinion on the implementation by Parliament of Constitutional Court decisions,</w:t>
      </w:r>
      <w:bookmarkEnd w:id="7"/>
      <w:r w:rsidRPr="008B2AE3">
        <w:rPr>
          <w:rFonts w:asciiTheme="minorHAnsi" w:hAnsiTheme="minorHAnsi" w:cstheme="minorHAnsi"/>
          <w:color w:val="auto"/>
          <w:sz w:val="20"/>
          <w:szCs w:val="20"/>
          <w:lang w:val="en-US"/>
        </w:rPr>
        <w:t xml:space="preserve"> adopted by the Venice Commission at its 141st Plenary Session (Venice, 6-7 December 2024)</w:t>
      </w:r>
    </w:p>
    <w:p w14:paraId="78030831" w14:textId="77777777" w:rsidR="00AA446E" w:rsidRDefault="00AA446E">
      <w:pPr>
        <w:rPr>
          <w:rFonts w:cs="Arial"/>
          <w:color w:val="FFFFFF" w:themeColor="background1"/>
          <w:sz w:val="22"/>
          <w:szCs w:val="22"/>
          <w:shd w:val="clear" w:color="auto" w:fill="1F3864" w:themeFill="accent1" w:themeFillShade="80"/>
          <w:lang w:val="en-US"/>
        </w:rPr>
      </w:pPr>
    </w:p>
    <w:p w14:paraId="5A38CCE4" w14:textId="77777777" w:rsidR="00043294" w:rsidRPr="00043294" w:rsidRDefault="00043294" w:rsidP="00043294">
      <w:pPr>
        <w:rPr>
          <w:lang w:val="en-US"/>
        </w:rPr>
      </w:pPr>
      <w:r w:rsidRPr="00043294">
        <w:rPr>
          <w:lang w:val="en-US"/>
        </w:rPr>
        <w:t xml:space="preserve">The Congress </w:t>
      </w:r>
      <w:hyperlink r:id="rId17" w:history="1">
        <w:r w:rsidRPr="00043294">
          <w:rPr>
            <w:lang w:val="en-US"/>
          </w:rPr>
          <w:t>of Local and Regional Authorities</w:t>
        </w:r>
      </w:hyperlink>
    </w:p>
    <w:p w14:paraId="6C124A05" w14:textId="77777777" w:rsidR="00043294" w:rsidRDefault="00043294">
      <w:pPr>
        <w:rPr>
          <w:rFonts w:cs="Arial"/>
          <w:color w:val="FFFFFF" w:themeColor="background1"/>
          <w:sz w:val="22"/>
          <w:szCs w:val="22"/>
          <w:shd w:val="clear" w:color="auto" w:fill="1F3864" w:themeFill="accent1" w:themeFillShade="80"/>
          <w:lang w:val="en-GB"/>
        </w:rPr>
      </w:pPr>
    </w:p>
    <w:p w14:paraId="3F84B8FE" w14:textId="3CEFCC2E" w:rsidR="00043294" w:rsidRPr="00043294" w:rsidRDefault="00043294" w:rsidP="00043294">
      <w:pPr>
        <w:rPr>
          <w:rFonts w:eastAsia="Times New Roman" w:cstheme="minorHAnsi"/>
          <w:lang w:val="en-GB"/>
        </w:rPr>
      </w:pPr>
      <w:r w:rsidRPr="00043294">
        <w:rPr>
          <w:rFonts w:eastAsia="Times New Roman" w:cstheme="minorHAnsi"/>
          <w:lang w:val="en-GB"/>
        </w:rPr>
        <w:t>Election observations: Local elections in Albania (14 May 2023)</w:t>
      </w:r>
      <w:r w:rsidRPr="00043294">
        <w:rPr>
          <w:rFonts w:eastAsia="Times New Roman" w:cstheme="minorHAnsi"/>
          <w:lang w:val="en-GB" w:eastAsia="fr-FR"/>
        </w:rPr>
        <w:t xml:space="preserve"> </w:t>
      </w:r>
      <w:hyperlink r:id="rId18" w:history="1">
        <w:r w:rsidRPr="00043294">
          <w:rPr>
            <w:rFonts w:eastAsia="Times New Roman" w:cstheme="minorHAnsi"/>
            <w:color w:val="0000FF"/>
            <w:u w:val="single"/>
            <w:lang w:val="en-GB"/>
          </w:rPr>
          <w:t>Report CPL(2023)45-04</w:t>
        </w:r>
      </w:hyperlink>
      <w:r w:rsidRPr="00043294">
        <w:rPr>
          <w:rFonts w:eastAsia="Times New Roman" w:cstheme="minorHAnsi"/>
          <w:lang w:val="en-GB"/>
        </w:rPr>
        <w:t xml:space="preserve">; </w:t>
      </w:r>
      <w:hyperlink r:id="rId19" w:anchor="_Toc148348480" w:history="1">
        <w:r w:rsidRPr="00043294">
          <w:rPr>
            <w:rFonts w:eastAsia="Times New Roman" w:cstheme="minorHAnsi"/>
            <w:color w:val="0000FF"/>
            <w:u w:val="single"/>
            <w:lang w:val="en-GB"/>
          </w:rPr>
          <w:t>Recommendation 497 (2023)</w:t>
        </w:r>
      </w:hyperlink>
    </w:p>
    <w:p w14:paraId="38F30B64" w14:textId="77777777" w:rsidR="00043294" w:rsidRPr="00043294" w:rsidRDefault="00043294" w:rsidP="00043294">
      <w:pPr>
        <w:ind w:left="1416"/>
        <w:rPr>
          <w:rFonts w:eastAsia="Aptos" w:cstheme="minorHAnsi"/>
          <w:lang w:val="en-GB"/>
        </w:rPr>
      </w:pPr>
      <w:r w:rsidRPr="00043294">
        <w:rPr>
          <w:rFonts w:eastAsia="Aptos" w:cstheme="minorHAnsi"/>
          <w:lang w:val="en-GB"/>
        </w:rPr>
        <w:t xml:space="preserve">    </w:t>
      </w:r>
    </w:p>
    <w:p w14:paraId="61B9C8EE" w14:textId="5099D7A7" w:rsidR="00043294" w:rsidRPr="00043294" w:rsidRDefault="00043294" w:rsidP="00043294">
      <w:pPr>
        <w:rPr>
          <w:rFonts w:eastAsia="Aptos" w:cstheme="minorHAnsi"/>
          <w:lang w:val="en-GB"/>
        </w:rPr>
      </w:pPr>
      <w:r w:rsidRPr="00043294">
        <w:rPr>
          <w:rFonts w:eastAsia="Aptos" w:cstheme="minorHAnsi"/>
          <w:lang w:val="en-GB"/>
        </w:rPr>
        <w:t xml:space="preserve">Monitoring of the European Charter on local </w:t>
      </w:r>
      <w:proofErr w:type="spellStart"/>
      <w:r w:rsidRPr="00043294">
        <w:rPr>
          <w:rFonts w:eastAsia="Aptos" w:cstheme="minorHAnsi"/>
          <w:lang w:val="en-GB"/>
        </w:rPr>
        <w:t xml:space="preserve">self </w:t>
      </w:r>
      <w:proofErr w:type="gramStart"/>
      <w:r w:rsidRPr="00043294">
        <w:rPr>
          <w:rFonts w:eastAsia="Aptos" w:cstheme="minorHAnsi"/>
          <w:lang w:val="en-GB"/>
        </w:rPr>
        <w:t>Government</w:t>
      </w:r>
      <w:proofErr w:type="spellEnd"/>
      <w:r w:rsidRPr="00043294">
        <w:rPr>
          <w:rFonts w:eastAsia="Aptos" w:cstheme="minorHAnsi"/>
          <w:lang w:val="en-GB"/>
        </w:rPr>
        <w:t>;  (</w:t>
      </w:r>
      <w:proofErr w:type="gramEnd"/>
      <w:hyperlink r:id="rId20" w:history="1">
        <w:r w:rsidRPr="00043294">
          <w:rPr>
            <w:rFonts w:eastAsia="Aptos" w:cstheme="minorHAnsi"/>
            <w:color w:val="0000FF"/>
            <w:u w:val="single"/>
            <w:lang w:val="en-GB"/>
          </w:rPr>
          <w:t>REC 468(2021)</w:t>
        </w:r>
      </w:hyperlink>
      <w:r w:rsidRPr="00043294">
        <w:rPr>
          <w:rFonts w:eastAsia="Aptos" w:cstheme="minorHAnsi"/>
          <w:lang w:val="en-GB"/>
        </w:rPr>
        <w:t>)</w:t>
      </w:r>
    </w:p>
    <w:p w14:paraId="5DFB2470" w14:textId="77777777" w:rsidR="00043294" w:rsidRPr="00043294" w:rsidRDefault="00043294">
      <w:pPr>
        <w:rPr>
          <w:rFonts w:cs="Arial"/>
          <w:color w:val="FFFFFF" w:themeColor="background1"/>
          <w:sz w:val="22"/>
          <w:szCs w:val="22"/>
          <w:shd w:val="clear" w:color="auto" w:fill="1F3864" w:themeFill="accent1" w:themeFillShade="80"/>
          <w:lang w:val="en-GB"/>
        </w:rPr>
      </w:pPr>
    </w:p>
    <w:sectPr w:rsidR="00043294" w:rsidRPr="00043294" w:rsidSect="007B3B82">
      <w:footerReference w:type="default" r:id="rId21"/>
      <w:footerReference w:type="first" r:id="rId2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F4126" w14:textId="77777777" w:rsidR="00434780" w:rsidRDefault="00434780" w:rsidP="00857FF1">
      <w:r>
        <w:separator/>
      </w:r>
    </w:p>
  </w:endnote>
  <w:endnote w:type="continuationSeparator" w:id="0">
    <w:p w14:paraId="67B54351" w14:textId="77777777" w:rsidR="00434780" w:rsidRDefault="00434780"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54ED4" w14:textId="77777777" w:rsidR="00434780" w:rsidRDefault="00434780" w:rsidP="00857FF1">
      <w:r>
        <w:separator/>
      </w:r>
    </w:p>
  </w:footnote>
  <w:footnote w:type="continuationSeparator" w:id="0">
    <w:p w14:paraId="102203DF" w14:textId="77777777" w:rsidR="00434780" w:rsidRDefault="00434780"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913C1"/>
    <w:multiLevelType w:val="hybridMultilevel"/>
    <w:tmpl w:val="616862BC"/>
    <w:lvl w:ilvl="0" w:tplc="AF8C418E">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2"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6"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num w:numId="1" w16cid:durableId="15568883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4"/>
  </w:num>
  <w:num w:numId="3" w16cid:durableId="1419709812">
    <w:abstractNumId w:val="7"/>
  </w:num>
  <w:num w:numId="4" w16cid:durableId="535509000">
    <w:abstractNumId w:val="5"/>
  </w:num>
  <w:num w:numId="5" w16cid:durableId="189495804">
    <w:abstractNumId w:val="10"/>
  </w:num>
  <w:num w:numId="6" w16cid:durableId="2070767956">
    <w:abstractNumId w:val="6"/>
  </w:num>
  <w:num w:numId="7" w16cid:durableId="1484002443">
    <w:abstractNumId w:val="8"/>
  </w:num>
  <w:num w:numId="8" w16cid:durableId="1293099640">
    <w:abstractNumId w:val="8"/>
  </w:num>
  <w:num w:numId="9" w16cid:durableId="196361223">
    <w:abstractNumId w:val="3"/>
  </w:num>
  <w:num w:numId="10" w16cid:durableId="1182088185">
    <w:abstractNumId w:val="9"/>
  </w:num>
  <w:num w:numId="11" w16cid:durableId="360477782">
    <w:abstractNumId w:val="11"/>
  </w:num>
  <w:num w:numId="12" w16cid:durableId="1540388124">
    <w:abstractNumId w:val="1"/>
  </w:num>
  <w:num w:numId="13" w16cid:durableId="1472749827">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L Saskia">
    <w15:presenceInfo w15:providerId="AD" w15:userId="S::Saskia.DANIELL@coe.int::af894d89-3540-492a-8228-65f27ca44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43294"/>
    <w:rsid w:val="000500C4"/>
    <w:rsid w:val="00057AA5"/>
    <w:rsid w:val="00062CBC"/>
    <w:rsid w:val="00064AF2"/>
    <w:rsid w:val="000707C5"/>
    <w:rsid w:val="000803F4"/>
    <w:rsid w:val="00084C0B"/>
    <w:rsid w:val="00085157"/>
    <w:rsid w:val="00095F4E"/>
    <w:rsid w:val="000A0236"/>
    <w:rsid w:val="000B223F"/>
    <w:rsid w:val="000B3F1F"/>
    <w:rsid w:val="000B4984"/>
    <w:rsid w:val="000C1783"/>
    <w:rsid w:val="000E51C1"/>
    <w:rsid w:val="000F082F"/>
    <w:rsid w:val="000F73A4"/>
    <w:rsid w:val="001029E2"/>
    <w:rsid w:val="0011349E"/>
    <w:rsid w:val="00123EAE"/>
    <w:rsid w:val="0012499E"/>
    <w:rsid w:val="001257E8"/>
    <w:rsid w:val="001272D8"/>
    <w:rsid w:val="001279C3"/>
    <w:rsid w:val="00152FC1"/>
    <w:rsid w:val="00157DFE"/>
    <w:rsid w:val="00161282"/>
    <w:rsid w:val="001621AD"/>
    <w:rsid w:val="00167680"/>
    <w:rsid w:val="001708DF"/>
    <w:rsid w:val="00172847"/>
    <w:rsid w:val="00184BFB"/>
    <w:rsid w:val="00187CD1"/>
    <w:rsid w:val="00194CC7"/>
    <w:rsid w:val="001A0B36"/>
    <w:rsid w:val="001A0CF1"/>
    <w:rsid w:val="001C77D8"/>
    <w:rsid w:val="001D0AE0"/>
    <w:rsid w:val="001E0EB7"/>
    <w:rsid w:val="002027E7"/>
    <w:rsid w:val="002077C4"/>
    <w:rsid w:val="0021059A"/>
    <w:rsid w:val="002170D9"/>
    <w:rsid w:val="00252DBE"/>
    <w:rsid w:val="00252F46"/>
    <w:rsid w:val="00254902"/>
    <w:rsid w:val="00255C44"/>
    <w:rsid w:val="00263456"/>
    <w:rsid w:val="00265495"/>
    <w:rsid w:val="00265693"/>
    <w:rsid w:val="002665BC"/>
    <w:rsid w:val="00267E73"/>
    <w:rsid w:val="00282225"/>
    <w:rsid w:val="0028366A"/>
    <w:rsid w:val="002864ED"/>
    <w:rsid w:val="00287289"/>
    <w:rsid w:val="002911B3"/>
    <w:rsid w:val="002A4E7E"/>
    <w:rsid w:val="002B2FF2"/>
    <w:rsid w:val="002C2B43"/>
    <w:rsid w:val="002C68B0"/>
    <w:rsid w:val="002D1BBF"/>
    <w:rsid w:val="002D3720"/>
    <w:rsid w:val="002D61AB"/>
    <w:rsid w:val="002E1CA9"/>
    <w:rsid w:val="002E779C"/>
    <w:rsid w:val="003048B6"/>
    <w:rsid w:val="003152F6"/>
    <w:rsid w:val="0033407D"/>
    <w:rsid w:val="00351BFE"/>
    <w:rsid w:val="00354D3F"/>
    <w:rsid w:val="003572C2"/>
    <w:rsid w:val="0036132D"/>
    <w:rsid w:val="00365602"/>
    <w:rsid w:val="0036606F"/>
    <w:rsid w:val="00372B8F"/>
    <w:rsid w:val="00372F92"/>
    <w:rsid w:val="003732BD"/>
    <w:rsid w:val="00380DB3"/>
    <w:rsid w:val="003A5BC3"/>
    <w:rsid w:val="003F0C2C"/>
    <w:rsid w:val="003F4E0F"/>
    <w:rsid w:val="004012A1"/>
    <w:rsid w:val="004013FD"/>
    <w:rsid w:val="00405191"/>
    <w:rsid w:val="00411F51"/>
    <w:rsid w:val="00415A04"/>
    <w:rsid w:val="00424436"/>
    <w:rsid w:val="00424AE6"/>
    <w:rsid w:val="00434780"/>
    <w:rsid w:val="00434E92"/>
    <w:rsid w:val="00443197"/>
    <w:rsid w:val="00457269"/>
    <w:rsid w:val="00464735"/>
    <w:rsid w:val="00471625"/>
    <w:rsid w:val="00487AB9"/>
    <w:rsid w:val="00491D94"/>
    <w:rsid w:val="0049205D"/>
    <w:rsid w:val="00496B58"/>
    <w:rsid w:val="004A628B"/>
    <w:rsid w:val="004B2966"/>
    <w:rsid w:val="004B4189"/>
    <w:rsid w:val="004C29C8"/>
    <w:rsid w:val="004C37B3"/>
    <w:rsid w:val="004C7D34"/>
    <w:rsid w:val="004D4A7E"/>
    <w:rsid w:val="004D4CB4"/>
    <w:rsid w:val="004E1ACA"/>
    <w:rsid w:val="004E3023"/>
    <w:rsid w:val="004E72B6"/>
    <w:rsid w:val="00530EC5"/>
    <w:rsid w:val="0054551A"/>
    <w:rsid w:val="0056639A"/>
    <w:rsid w:val="0057123C"/>
    <w:rsid w:val="005728A3"/>
    <w:rsid w:val="00573CDC"/>
    <w:rsid w:val="005813CD"/>
    <w:rsid w:val="005837EC"/>
    <w:rsid w:val="00597295"/>
    <w:rsid w:val="005A3425"/>
    <w:rsid w:val="005B2725"/>
    <w:rsid w:val="005B37E9"/>
    <w:rsid w:val="005C317F"/>
    <w:rsid w:val="005D4AD7"/>
    <w:rsid w:val="005D7294"/>
    <w:rsid w:val="005E17CB"/>
    <w:rsid w:val="005E1A73"/>
    <w:rsid w:val="005E381E"/>
    <w:rsid w:val="005F7772"/>
    <w:rsid w:val="00600E03"/>
    <w:rsid w:val="00602398"/>
    <w:rsid w:val="0061214D"/>
    <w:rsid w:val="00636AF8"/>
    <w:rsid w:val="00647D6B"/>
    <w:rsid w:val="006502C5"/>
    <w:rsid w:val="0065310F"/>
    <w:rsid w:val="0066401C"/>
    <w:rsid w:val="00680789"/>
    <w:rsid w:val="00683C6A"/>
    <w:rsid w:val="006871F9"/>
    <w:rsid w:val="006952AF"/>
    <w:rsid w:val="0069684E"/>
    <w:rsid w:val="006B6601"/>
    <w:rsid w:val="006C5AF1"/>
    <w:rsid w:val="006C758C"/>
    <w:rsid w:val="006D3771"/>
    <w:rsid w:val="006D695E"/>
    <w:rsid w:val="00702CE9"/>
    <w:rsid w:val="007323D4"/>
    <w:rsid w:val="00734D8B"/>
    <w:rsid w:val="00742FA8"/>
    <w:rsid w:val="00744D22"/>
    <w:rsid w:val="00756962"/>
    <w:rsid w:val="0076072F"/>
    <w:rsid w:val="0076444E"/>
    <w:rsid w:val="007959C1"/>
    <w:rsid w:val="007A270E"/>
    <w:rsid w:val="007B3B82"/>
    <w:rsid w:val="007D198D"/>
    <w:rsid w:val="007D262D"/>
    <w:rsid w:val="007E2BE3"/>
    <w:rsid w:val="007F2A4E"/>
    <w:rsid w:val="007F352D"/>
    <w:rsid w:val="008026A9"/>
    <w:rsid w:val="008131ED"/>
    <w:rsid w:val="008179BE"/>
    <w:rsid w:val="00833496"/>
    <w:rsid w:val="00833AA1"/>
    <w:rsid w:val="00840C74"/>
    <w:rsid w:val="00857FF1"/>
    <w:rsid w:val="008617BA"/>
    <w:rsid w:val="00861CFB"/>
    <w:rsid w:val="00867469"/>
    <w:rsid w:val="0087426C"/>
    <w:rsid w:val="00887319"/>
    <w:rsid w:val="00893779"/>
    <w:rsid w:val="008A6094"/>
    <w:rsid w:val="008B037C"/>
    <w:rsid w:val="008B6B20"/>
    <w:rsid w:val="008C2E4F"/>
    <w:rsid w:val="008C38E9"/>
    <w:rsid w:val="008C51BC"/>
    <w:rsid w:val="008C605D"/>
    <w:rsid w:val="008D124A"/>
    <w:rsid w:val="008D5A29"/>
    <w:rsid w:val="008E1947"/>
    <w:rsid w:val="0090195D"/>
    <w:rsid w:val="00906927"/>
    <w:rsid w:val="00906B87"/>
    <w:rsid w:val="00945E9C"/>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A01439"/>
    <w:rsid w:val="00A0524A"/>
    <w:rsid w:val="00A159F1"/>
    <w:rsid w:val="00A36CCA"/>
    <w:rsid w:val="00A42F38"/>
    <w:rsid w:val="00A43E9B"/>
    <w:rsid w:val="00A476D7"/>
    <w:rsid w:val="00A47E2D"/>
    <w:rsid w:val="00A52988"/>
    <w:rsid w:val="00A53917"/>
    <w:rsid w:val="00A54D19"/>
    <w:rsid w:val="00A70E18"/>
    <w:rsid w:val="00A7220C"/>
    <w:rsid w:val="00A726B1"/>
    <w:rsid w:val="00A745D4"/>
    <w:rsid w:val="00A75E87"/>
    <w:rsid w:val="00A82B5B"/>
    <w:rsid w:val="00A84BB2"/>
    <w:rsid w:val="00AA1BBD"/>
    <w:rsid w:val="00AA2156"/>
    <w:rsid w:val="00AA446E"/>
    <w:rsid w:val="00AA476A"/>
    <w:rsid w:val="00AB0698"/>
    <w:rsid w:val="00AB195E"/>
    <w:rsid w:val="00AC0489"/>
    <w:rsid w:val="00AC541D"/>
    <w:rsid w:val="00AC6FD7"/>
    <w:rsid w:val="00AD3544"/>
    <w:rsid w:val="00AD4A17"/>
    <w:rsid w:val="00AD5BD0"/>
    <w:rsid w:val="00AE04CC"/>
    <w:rsid w:val="00AE43DA"/>
    <w:rsid w:val="00AF2279"/>
    <w:rsid w:val="00AF2511"/>
    <w:rsid w:val="00AF4B2D"/>
    <w:rsid w:val="00AF5605"/>
    <w:rsid w:val="00B22E3E"/>
    <w:rsid w:val="00B2424D"/>
    <w:rsid w:val="00B2610B"/>
    <w:rsid w:val="00B35012"/>
    <w:rsid w:val="00B36582"/>
    <w:rsid w:val="00B52587"/>
    <w:rsid w:val="00B807B6"/>
    <w:rsid w:val="00B97671"/>
    <w:rsid w:val="00BD211A"/>
    <w:rsid w:val="00BD26EA"/>
    <w:rsid w:val="00BE1EE0"/>
    <w:rsid w:val="00BE2ADB"/>
    <w:rsid w:val="00BF5595"/>
    <w:rsid w:val="00C003A4"/>
    <w:rsid w:val="00C06969"/>
    <w:rsid w:val="00C06D56"/>
    <w:rsid w:val="00C45527"/>
    <w:rsid w:val="00C5444D"/>
    <w:rsid w:val="00C75135"/>
    <w:rsid w:val="00C848FF"/>
    <w:rsid w:val="00C86F4B"/>
    <w:rsid w:val="00CC09C0"/>
    <w:rsid w:val="00CC0E4F"/>
    <w:rsid w:val="00CC271E"/>
    <w:rsid w:val="00CC5ABF"/>
    <w:rsid w:val="00CD24F2"/>
    <w:rsid w:val="00CD7F9C"/>
    <w:rsid w:val="00CE6FBD"/>
    <w:rsid w:val="00CF0660"/>
    <w:rsid w:val="00CF1C6F"/>
    <w:rsid w:val="00D15B02"/>
    <w:rsid w:val="00D20872"/>
    <w:rsid w:val="00D31EA3"/>
    <w:rsid w:val="00D36177"/>
    <w:rsid w:val="00D37016"/>
    <w:rsid w:val="00D447C9"/>
    <w:rsid w:val="00D45CD6"/>
    <w:rsid w:val="00D657E4"/>
    <w:rsid w:val="00D66D1D"/>
    <w:rsid w:val="00D96E9B"/>
    <w:rsid w:val="00DA1D6A"/>
    <w:rsid w:val="00DA55DC"/>
    <w:rsid w:val="00DB05E1"/>
    <w:rsid w:val="00DB1AB7"/>
    <w:rsid w:val="00DC7320"/>
    <w:rsid w:val="00DD175C"/>
    <w:rsid w:val="00DF19D6"/>
    <w:rsid w:val="00DF7C08"/>
    <w:rsid w:val="00E13798"/>
    <w:rsid w:val="00E147EE"/>
    <w:rsid w:val="00E2087D"/>
    <w:rsid w:val="00E26C9B"/>
    <w:rsid w:val="00E27691"/>
    <w:rsid w:val="00E429AF"/>
    <w:rsid w:val="00E56906"/>
    <w:rsid w:val="00E743AE"/>
    <w:rsid w:val="00E81708"/>
    <w:rsid w:val="00E84DC1"/>
    <w:rsid w:val="00E90AB0"/>
    <w:rsid w:val="00EA39A6"/>
    <w:rsid w:val="00ED1080"/>
    <w:rsid w:val="00ED2EDB"/>
    <w:rsid w:val="00ED7B5B"/>
    <w:rsid w:val="00EE24A2"/>
    <w:rsid w:val="00EF5D3B"/>
    <w:rsid w:val="00F070DD"/>
    <w:rsid w:val="00F3151D"/>
    <w:rsid w:val="00F375C2"/>
    <w:rsid w:val="00F448D1"/>
    <w:rsid w:val="00F5679C"/>
    <w:rsid w:val="00F64D35"/>
    <w:rsid w:val="00F71177"/>
    <w:rsid w:val="00F7793C"/>
    <w:rsid w:val="00F8213F"/>
    <w:rsid w:val="00F847EB"/>
    <w:rsid w:val="00F91B36"/>
    <w:rsid w:val="00F973E9"/>
    <w:rsid w:val="00FA480D"/>
    <w:rsid w:val="00FB69AF"/>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367296171">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54325409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416823275">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094620416">
      <w:bodyDiv w:val="1"/>
      <w:marLeft w:val="0"/>
      <w:marRight w:val="0"/>
      <w:marTop w:val="0"/>
      <w:marBottom w:val="0"/>
      <w:divBdr>
        <w:top w:val="none" w:sz="0" w:space="0" w:color="auto"/>
        <w:left w:val="none" w:sz="0" w:space="0" w:color="auto"/>
        <w:bottom w:val="none" w:sz="0" w:space="0" w:color="auto"/>
        <w:right w:val="none" w:sz="0" w:space="0" w:color="auto"/>
      </w:divBdr>
    </w:div>
    <w:div w:id="2111196662">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ace.coe.int/en/files/33397" TargetMode="External"/><Relationship Id="rId18" Type="http://schemas.openxmlformats.org/officeDocument/2006/relationships/hyperlink" Target="http://search.coe.int/cm/pages/result_details.aspx?ObjectId=0900001680acf472"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m.coe.int/albania-deliverable-2/1680b2722b" TargetMode="External"/><Relationship Id="rId17" Type="http://schemas.openxmlformats.org/officeDocument/2006/relationships/hyperlink" Target="https://www.coe.int/en/web/congres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venice.coe.int/webforms/documents/default.aspx?pdffile=CDL-AD(2024)040-e" TargetMode="External"/><Relationship Id="rId20" Type="http://schemas.openxmlformats.org/officeDocument/2006/relationships/hyperlink" Target="https://search.coe.int/congress?i=0900001680a454f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albania-en/1680b21e8a"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pace.coe.int/en/files/33941" TargetMode="External"/><Relationship Id="rId23" Type="http://schemas.openxmlformats.org/officeDocument/2006/relationships/fontTable" Target="fontTable.xml"/><Relationship Id="rId10" Type="http://schemas.openxmlformats.org/officeDocument/2006/relationships/hyperlink" Target="http://www.coe.int/en/web/cepej/cepej-stat" TargetMode="External"/><Relationship Id="rId19" Type="http://schemas.openxmlformats.org/officeDocument/2006/relationships/hyperlink" Target="https://search.coe.int/cm/pages/result_details.aspx?ObjectId=0900001680acf472" TargetMode="Externa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pace.coe.int/en/files/33513"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746</Words>
  <Characters>4103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8</cp:revision>
  <dcterms:created xsi:type="dcterms:W3CDTF">2025-01-20T14:25:00Z</dcterms:created>
  <dcterms:modified xsi:type="dcterms:W3CDTF">2025-02-04T08:50:00Z</dcterms:modified>
</cp:coreProperties>
</file>